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货物需求及技术要求</w:t>
      </w:r>
    </w:p>
    <w:p>
      <w:pPr>
        <w:widowControl/>
        <w:spacing w:line="500" w:lineRule="exact"/>
        <w:ind w:firstLine="420"/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为鼓励不同品牌的充分竞争，如某设备的某技术参数或要求属于个别品牌专有，则该技术参数及要求不具有限制性，谈判响应人可对该参数或要求进行适当调整，但这种调整整体上要优于或相当于竞争性谈判文件的相关要求，并说明调整理由，且该调整须经谈判小组审核认可。</w:t>
      </w:r>
      <w:bookmarkStart w:id="0" w:name="_Toc24273"/>
    </w:p>
    <w:p>
      <w:pPr>
        <w:widowControl/>
        <w:spacing w:line="500" w:lineRule="exact"/>
        <w:ind w:firstLine="405"/>
        <w:jc w:val="left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1、在采购活动开始前没有获准采购进口产品而开展采购活动的，视同为拒绝采购进口产品。</w:t>
      </w:r>
    </w:p>
    <w:p>
      <w:pPr>
        <w:widowControl/>
        <w:spacing w:line="500" w:lineRule="exact"/>
        <w:ind w:firstLine="405"/>
        <w:jc w:val="left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2、根据“关于印发《政府采购进口产品管理办法》的通知”及“关于政府采购进口产品管理有关问题的通知”的相关规定：下列采购需求中如涉及进口产品则已履行相关论证手续。</w:t>
      </w:r>
    </w:p>
    <w:p>
      <w:pPr>
        <w:widowControl/>
        <w:spacing w:line="500" w:lineRule="exact"/>
        <w:ind w:firstLine="405"/>
        <w:jc w:val="left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3、中标人提供的货物为进口产品的，供货时须向采购人提供所投进口产品的海关报关单等证明材料。</w:t>
      </w:r>
    </w:p>
    <w:p>
      <w:pPr>
        <w:widowControl/>
        <w:spacing w:line="500" w:lineRule="exact"/>
        <w:ind w:firstLine="420"/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</w:p>
    <w:p>
      <w:pPr>
        <w:pStyle w:val="3"/>
        <w:ind w:firstLine="472" w:firstLineChars="196"/>
        <w:rPr>
          <w:rFonts w:hint="eastAsia" w:hAnsi="宋体" w:cs="宋体"/>
          <w:bCs/>
          <w:color w:val="auto"/>
          <w:szCs w:val="24"/>
          <w:highlight w:val="none"/>
        </w:rPr>
      </w:pPr>
      <w:bookmarkStart w:id="1" w:name="_Toc15485"/>
      <w:r>
        <w:rPr>
          <w:rFonts w:hint="eastAsia" w:hAnsi="宋体" w:cs="宋体"/>
          <w:color w:val="auto"/>
          <w:highlight w:val="none"/>
        </w:rPr>
        <w:t>一、</w:t>
      </w:r>
      <w:r>
        <w:rPr>
          <w:rFonts w:hint="eastAsia" w:hAnsi="宋体" w:cs="宋体"/>
          <w:bCs/>
          <w:color w:val="auto"/>
          <w:szCs w:val="24"/>
          <w:highlight w:val="none"/>
        </w:rPr>
        <w:t>货物需求一览表</w:t>
      </w:r>
      <w:bookmarkEnd w:id="0"/>
      <w:bookmarkEnd w:id="1"/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82"/>
        <w:gridCol w:w="3827"/>
        <w:gridCol w:w="851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2" w:name="OLE_LINK1"/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货物名称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竞争性谈判技术参数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210" w:hanging="21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eastAsia="zh-CN"/>
              </w:rPr>
              <w:t>血液保存箱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一、 技术参数：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1、用途：全血和血液制剂的保存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2、保存温度：4℃±1.5℃（环境+5~35℃）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3、有效容积：≥1287L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4、绝热材料：硬质聚氨酯泡沫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5、外部材料：彩色涂层钢板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6、内部材料：彩色涂层钢板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7、外门：彩色涂层钢板，双层玻璃门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8、搁架：12层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9、压缩机：全封闭型250W（噪音低）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10、制冷剂：R404A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11、报警：高/低温报警，断电报警、门报警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12、记录仪：内置温度记录仪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13、除霜：循环除霜+强制除霜；全自动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14、检测孔：内径：30mm；左侧、右侧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二、 稳定的温度控制：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1、 温度通过两个位于液体监视瓶（血袋形）中的传感器进行控制。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2、 两个热敏电阻传感器位于箱体的上部和下部，分别监控两个位置的温度。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3、 多气流压力通风系统保证了大箱体内的温度均衡性。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4、 在精确的微电脑控制下，在蒸发器上配备了加热器和热传感器，从而能够进行循环除霜，保证温度的均匀性。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三、 安全保安功能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1、报警&amp;记录系统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2、高/低温报警（可调）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3、断电报警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4、远程报警接点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5、自我诊断系统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四、 防止温度波动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1、 独立透明内门保证了开门时冷气泄露少。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2、 泡沫绝缘内壁及含双层玻璃视窗的带磁封条外门的最佳组合，保证门能够确实关严，且有效防止冷气外泄。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3、 双风扇设计（大型空气循环风扇），保证了开门后温度迅速恢复。</w:t>
            </w:r>
          </w:p>
          <w:p>
            <w:pPr>
              <w:pStyle w:val="7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五、提供产品彩页扫描件。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highlight w:val="none"/>
                <w:lang w:eastAsia="zh-CN"/>
              </w:rPr>
              <w:t>如所投产品为进口产品，则要求为原装进口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说明：谈判响应人的谈判响应文件必须标明所投货物的品牌与参数，保证原厂正品供货，提供相关资料等。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本次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eastAsia="zh-CN"/>
              </w:rPr>
              <w:t>谈判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最高限价：人民币捌万元整（￥80000.00元）</w:t>
            </w:r>
          </w:p>
        </w:tc>
      </w:tr>
      <w:bookmarkEnd w:id="2"/>
    </w:tbl>
    <w:p>
      <w:pPr>
        <w:pStyle w:val="3"/>
        <w:ind w:firstLine="472" w:firstLineChars="196"/>
        <w:rPr>
          <w:rFonts w:hint="eastAsia" w:hAnsi="宋体" w:cs="宋体"/>
          <w:color w:val="auto"/>
          <w:highlight w:val="none"/>
        </w:rPr>
      </w:pPr>
      <w:bookmarkStart w:id="3" w:name="_Toc23920"/>
      <w:bookmarkStart w:id="4" w:name="_Toc4579"/>
      <w:r>
        <w:rPr>
          <w:rFonts w:hint="eastAsia" w:hAnsi="宋体" w:cs="宋体"/>
          <w:color w:val="auto"/>
          <w:highlight w:val="none"/>
        </w:rPr>
        <w:t>二、人员培训要求</w:t>
      </w:r>
      <w:bookmarkEnd w:id="3"/>
      <w:bookmarkEnd w:id="4"/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   货物安装、调试、验收合格后，成交人应对采购人的相关人员进行免费现场培训。培训内容包括基本操作、保养维修、常见故障及解决办法等。</w:t>
      </w:r>
    </w:p>
    <w:p>
      <w:pPr>
        <w:pStyle w:val="3"/>
        <w:ind w:firstLine="472" w:firstLineChars="196"/>
        <w:rPr>
          <w:rFonts w:hint="eastAsia" w:hAnsi="宋体" w:cs="宋体"/>
          <w:color w:val="auto"/>
          <w:highlight w:val="none"/>
        </w:rPr>
      </w:pPr>
      <w:bookmarkStart w:id="5" w:name="_Toc21193"/>
      <w:bookmarkStart w:id="6" w:name="_Toc17991"/>
      <w:r>
        <w:rPr>
          <w:rFonts w:hint="eastAsia" w:hAnsi="宋体" w:cs="宋体"/>
          <w:color w:val="auto"/>
          <w:highlight w:val="none"/>
        </w:rPr>
        <w:t>三、货物质量及售后服务要求</w:t>
      </w:r>
      <w:bookmarkEnd w:id="5"/>
      <w:bookmarkEnd w:id="6"/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   1、货物质量：成交人提供的货物必须是全新、原装、合格正品，完全符合国家规定的质量标准和厂方的标准。货物完好，配件齐全。</w:t>
      </w: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   2、保修及售后服务：依据商品的保修条款及售后服务条款，提供原厂质保，质保期按照国家规定，且不低于所供品牌向用户承诺的质保期限，竞争性谈判文件另有约定的从其约定。质保期从货物验收合格后算起。</w:t>
      </w:r>
    </w:p>
    <w:p>
      <w:pPr>
        <w:pStyle w:val="3"/>
        <w:ind w:firstLine="472" w:firstLineChars="196"/>
        <w:rPr>
          <w:rFonts w:hint="eastAsia" w:hAnsi="宋体" w:cs="宋体"/>
          <w:color w:val="auto"/>
          <w:highlight w:val="none"/>
        </w:rPr>
      </w:pPr>
      <w:bookmarkStart w:id="7" w:name="_Toc12768"/>
      <w:bookmarkStart w:id="8" w:name="_Toc23093"/>
      <w:r>
        <w:rPr>
          <w:rFonts w:hint="eastAsia" w:hAnsi="宋体" w:cs="宋体"/>
          <w:color w:val="auto"/>
          <w:highlight w:val="none"/>
        </w:rPr>
        <w:t>四、验收</w:t>
      </w:r>
      <w:bookmarkEnd w:id="7"/>
      <w:bookmarkEnd w:id="8"/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   成交人和采购人双方共同实施验收工作，结果和验收报告经双方确认后生效。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73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1"/>
    <w:next w:val="4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天神的远征</cp:lastModifiedBy>
  <dcterms:modified xsi:type="dcterms:W3CDTF">2018-12-13T07:50:10Z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